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CF" w:rsidRDefault="001E39CF" w:rsidP="001E39CF">
      <w:pPr>
        <w:spacing w:line="240" w:lineRule="auto"/>
        <w:jc w:val="center"/>
        <w:rPr>
          <w:rFonts w:eastAsia="Calibri"/>
          <w:b/>
          <w:sz w:val="24"/>
          <w:szCs w:val="24"/>
          <w:u w:val="single"/>
        </w:rPr>
      </w:pPr>
      <w:r>
        <w:rPr>
          <w:rFonts w:eastAsia="Calibri"/>
          <w:b/>
          <w:sz w:val="24"/>
          <w:szCs w:val="24"/>
          <w:u w:val="single"/>
        </w:rPr>
        <w:t>CR 3.1</w:t>
      </w:r>
    </w:p>
    <w:p w:rsidR="001E39CF" w:rsidRPr="0053560F" w:rsidRDefault="001E39CF" w:rsidP="001E39CF">
      <w:pPr>
        <w:spacing w:after="240" w:line="240" w:lineRule="exact"/>
        <w:jc w:val="center"/>
        <w:rPr>
          <w:rFonts w:eastAsia="Calibri"/>
          <w:b/>
          <w:sz w:val="24"/>
          <w:szCs w:val="24"/>
          <w:u w:val="single"/>
        </w:rPr>
      </w:pPr>
      <w:r w:rsidRPr="0053560F">
        <w:rPr>
          <w:rFonts w:eastAsia="Calibri"/>
          <w:b/>
          <w:sz w:val="24"/>
          <w:szCs w:val="24"/>
          <w:u w:val="single"/>
        </w:rPr>
        <w:t>INITIAL CASE SCHEDULES</w:t>
      </w:r>
    </w:p>
    <w:p w:rsidR="001E39CF" w:rsidRPr="00DE0563" w:rsidRDefault="001E39CF" w:rsidP="001E39CF">
      <w:pPr>
        <w:ind w:firstLine="720"/>
        <w:rPr>
          <w:rFonts w:eastAsia="Calibri"/>
          <w:sz w:val="24"/>
          <w:szCs w:val="24"/>
          <w:u w:val="single"/>
        </w:rPr>
      </w:pPr>
      <w:r w:rsidRPr="00DE0563">
        <w:rPr>
          <w:rFonts w:eastAsia="Calibri"/>
          <w:b/>
          <w:sz w:val="24"/>
          <w:szCs w:val="24"/>
          <w:u w:val="single"/>
        </w:rPr>
        <w:t>(a)</w:t>
      </w:r>
      <w:r w:rsidRPr="00DE0563">
        <w:rPr>
          <w:rFonts w:eastAsia="Calibri"/>
          <w:b/>
          <w:sz w:val="24"/>
          <w:szCs w:val="24"/>
          <w:u w:val="single"/>
        </w:rPr>
        <w:tab/>
        <w:t>Initial Case Schedule</w:t>
      </w:r>
      <w:r w:rsidRPr="00F71247">
        <w:rPr>
          <w:rFonts w:eastAsia="Calibri"/>
          <w:b/>
          <w:sz w:val="24"/>
          <w:szCs w:val="24"/>
          <w:u w:val="single"/>
        </w:rPr>
        <w:t>.</w:t>
      </w:r>
      <w:r w:rsidRPr="00DE0563">
        <w:rPr>
          <w:rFonts w:eastAsia="Calibri"/>
          <w:sz w:val="24"/>
          <w:szCs w:val="24"/>
          <w:u w:val="single"/>
        </w:rPr>
        <w:t xml:space="preserve"> When a summons and complaint are filed, and unless exempted pursuant to this rule, the court shall, in addition to any Local Rule case schedule requirements, issue an initial case schedule with at least the following deadlines:</w:t>
      </w:r>
    </w:p>
    <w:p w:rsidR="001E39CF" w:rsidRPr="00DE0563" w:rsidRDefault="008D2007" w:rsidP="001E39CF">
      <w:pPr>
        <w:keepNext/>
        <w:ind w:left="1440" w:hanging="720"/>
        <w:rPr>
          <w:rFonts w:eastAsia="Calibri"/>
          <w:sz w:val="24"/>
          <w:szCs w:val="24"/>
          <w:u w:val="single"/>
        </w:rPr>
      </w:pPr>
      <w:r>
        <w:rPr>
          <w:rFonts w:eastAsia="Calibri"/>
          <w:sz w:val="24"/>
          <w:szCs w:val="24"/>
          <w:u w:val="single"/>
        </w:rPr>
        <w:t>(</w:t>
      </w:r>
      <w:r w:rsidR="001E39CF" w:rsidRPr="00DE0563">
        <w:rPr>
          <w:rFonts w:eastAsia="Calibri"/>
          <w:sz w:val="24"/>
          <w:szCs w:val="24"/>
          <w:u w:val="single"/>
        </w:rPr>
        <w:t>1</w:t>
      </w:r>
      <w:r>
        <w:rPr>
          <w:rFonts w:eastAsia="Calibri"/>
          <w:sz w:val="24"/>
          <w:szCs w:val="24"/>
          <w:u w:val="single"/>
        </w:rPr>
        <w:t>)</w:t>
      </w:r>
      <w:r w:rsidR="001E39CF" w:rsidRPr="00DE0563">
        <w:rPr>
          <w:rFonts w:eastAsia="Calibri"/>
          <w:sz w:val="24"/>
          <w:szCs w:val="24"/>
          <w:u w:val="single"/>
        </w:rPr>
        <w:tab/>
      </w:r>
      <w:r w:rsidR="001E39CF" w:rsidRPr="001E39CF">
        <w:rPr>
          <w:rFonts w:eastAsia="Calibri"/>
          <w:i/>
          <w:sz w:val="24"/>
          <w:szCs w:val="24"/>
          <w:u w:val="single"/>
        </w:rPr>
        <w:t>Expert Witness Disclosures</w:t>
      </w:r>
      <w:r w:rsidR="001E39CF" w:rsidRPr="00DE0563">
        <w:rPr>
          <w:rFonts w:eastAsia="Calibri"/>
          <w:sz w:val="24"/>
          <w:szCs w:val="24"/>
          <w:u w:val="single"/>
        </w:rPr>
        <w:t>.</w:t>
      </w:r>
    </w:p>
    <w:p w:rsidR="001E39CF" w:rsidRPr="00DE0563" w:rsidRDefault="001E39CF" w:rsidP="001E39CF">
      <w:pPr>
        <w:ind w:left="2160" w:hanging="720"/>
        <w:rPr>
          <w:rFonts w:eastAsia="Calibri"/>
          <w:sz w:val="24"/>
          <w:szCs w:val="24"/>
          <w:u w:val="single"/>
        </w:rPr>
      </w:pPr>
      <w:r w:rsidRPr="00DE0563">
        <w:rPr>
          <w:rFonts w:eastAsia="Calibri"/>
          <w:sz w:val="24"/>
          <w:szCs w:val="24"/>
          <w:u w:val="single"/>
        </w:rPr>
        <w:t>A.</w:t>
      </w:r>
      <w:r w:rsidRPr="00DE0563">
        <w:rPr>
          <w:rFonts w:eastAsia="Calibri"/>
          <w:sz w:val="24"/>
          <w:szCs w:val="24"/>
          <w:u w:val="single"/>
        </w:rPr>
        <w:tab/>
        <w:t>Each party shall serve its primary expert witness disclosures no later than 26 weeks before the trial commencement date.</w:t>
      </w:r>
    </w:p>
    <w:p w:rsidR="001E39CF" w:rsidRPr="00DE0563" w:rsidRDefault="001E39CF" w:rsidP="001E39CF">
      <w:pPr>
        <w:ind w:left="2160" w:hanging="720"/>
        <w:rPr>
          <w:rFonts w:eastAsia="Calibri"/>
          <w:sz w:val="24"/>
          <w:szCs w:val="24"/>
          <w:u w:val="single"/>
        </w:rPr>
      </w:pPr>
      <w:r w:rsidRPr="00DE0563">
        <w:rPr>
          <w:rFonts w:eastAsia="Calibri"/>
          <w:sz w:val="24"/>
          <w:szCs w:val="24"/>
          <w:u w:val="single"/>
        </w:rPr>
        <w:t>B.</w:t>
      </w:r>
      <w:r w:rsidRPr="00DE0563">
        <w:rPr>
          <w:rFonts w:eastAsia="Calibri"/>
          <w:sz w:val="24"/>
          <w:szCs w:val="24"/>
          <w:u w:val="single"/>
        </w:rPr>
        <w:tab/>
        <w:t>Each party shall serve its rebuttal expert witness disclosures no later than 20 weeks before the trial commencement date.</w:t>
      </w:r>
    </w:p>
    <w:p w:rsidR="001E39CF" w:rsidRPr="00DE0563" w:rsidRDefault="008D2007" w:rsidP="001E39CF">
      <w:pPr>
        <w:ind w:left="1440" w:hanging="720"/>
        <w:rPr>
          <w:rFonts w:eastAsia="Calibri"/>
          <w:sz w:val="24"/>
          <w:szCs w:val="24"/>
          <w:u w:val="single"/>
        </w:rPr>
      </w:pPr>
      <w:r>
        <w:rPr>
          <w:rFonts w:eastAsia="Calibri"/>
          <w:sz w:val="24"/>
          <w:szCs w:val="24"/>
          <w:u w:val="single"/>
        </w:rPr>
        <w:t>(</w:t>
      </w:r>
      <w:r w:rsidR="001E39CF" w:rsidRPr="00DE0563">
        <w:rPr>
          <w:rFonts w:eastAsia="Calibri"/>
          <w:sz w:val="24"/>
          <w:szCs w:val="24"/>
          <w:u w:val="single"/>
        </w:rPr>
        <w:t>2</w:t>
      </w:r>
      <w:r>
        <w:rPr>
          <w:rFonts w:eastAsia="Calibri"/>
          <w:sz w:val="24"/>
          <w:szCs w:val="24"/>
          <w:u w:val="single"/>
        </w:rPr>
        <w:t>)</w:t>
      </w:r>
      <w:r w:rsidR="001E39CF" w:rsidRPr="00DE0563">
        <w:rPr>
          <w:rFonts w:eastAsia="Calibri"/>
          <w:sz w:val="24"/>
          <w:szCs w:val="24"/>
          <w:u w:val="single"/>
        </w:rPr>
        <w:tab/>
      </w:r>
      <w:r w:rsidR="001E39CF" w:rsidRPr="001E39CF">
        <w:rPr>
          <w:rFonts w:eastAsia="Calibri"/>
          <w:i/>
          <w:sz w:val="24"/>
          <w:szCs w:val="24"/>
          <w:u w:val="single"/>
        </w:rPr>
        <w:t>Discovery Cutoff</w:t>
      </w:r>
      <w:r w:rsidR="001E39CF" w:rsidRPr="00DE0563">
        <w:rPr>
          <w:rFonts w:eastAsia="Calibri"/>
          <w:sz w:val="24"/>
          <w:szCs w:val="24"/>
          <w:u w:val="single"/>
        </w:rPr>
        <w:t>. The parties shall complete discovery</w:t>
      </w:r>
      <w:r w:rsidR="001E39CF" w:rsidRPr="00DE0563">
        <w:rPr>
          <w:rFonts w:eastAsia="Calibri"/>
          <w:b/>
          <w:sz w:val="24"/>
          <w:szCs w:val="24"/>
          <w:u w:val="single"/>
        </w:rPr>
        <w:t xml:space="preserve"> </w:t>
      </w:r>
      <w:r w:rsidR="001E39CF" w:rsidRPr="00DE0563">
        <w:rPr>
          <w:rFonts w:eastAsia="Calibri"/>
          <w:sz w:val="24"/>
          <w:szCs w:val="24"/>
          <w:u w:val="single"/>
        </w:rPr>
        <w:t>no later than 13 weeks before the trial commencement date.</w:t>
      </w:r>
    </w:p>
    <w:p w:rsidR="001E39CF" w:rsidRPr="00DE0563" w:rsidRDefault="008D2007" w:rsidP="001E39CF">
      <w:pPr>
        <w:ind w:left="1440" w:hanging="720"/>
        <w:rPr>
          <w:rFonts w:eastAsia="Calibri"/>
          <w:sz w:val="24"/>
          <w:szCs w:val="24"/>
          <w:highlight w:val="yellow"/>
          <w:u w:val="single"/>
        </w:rPr>
      </w:pPr>
      <w:r>
        <w:rPr>
          <w:rFonts w:eastAsia="Calibri"/>
          <w:sz w:val="24"/>
          <w:szCs w:val="24"/>
          <w:u w:val="single"/>
        </w:rPr>
        <w:t>(</w:t>
      </w:r>
      <w:r w:rsidR="001E39CF" w:rsidRPr="00DE0563">
        <w:rPr>
          <w:rFonts w:eastAsia="Calibri"/>
          <w:sz w:val="24"/>
          <w:szCs w:val="24"/>
          <w:u w:val="single"/>
        </w:rPr>
        <w:t>3</w:t>
      </w:r>
      <w:r>
        <w:rPr>
          <w:rFonts w:eastAsia="Calibri"/>
          <w:sz w:val="24"/>
          <w:szCs w:val="24"/>
          <w:u w:val="single"/>
        </w:rPr>
        <w:t>)</w:t>
      </w:r>
      <w:r w:rsidR="001E39CF" w:rsidRPr="00DE0563">
        <w:rPr>
          <w:rFonts w:eastAsia="Calibri"/>
          <w:sz w:val="24"/>
          <w:szCs w:val="24"/>
          <w:u w:val="single"/>
        </w:rPr>
        <w:tab/>
      </w:r>
      <w:r w:rsidR="001E39CF" w:rsidRPr="001E39CF">
        <w:rPr>
          <w:rFonts w:eastAsia="Calibri"/>
          <w:i/>
          <w:sz w:val="24"/>
          <w:szCs w:val="24"/>
          <w:u w:val="single"/>
        </w:rPr>
        <w:t>Dispositive Motions</w:t>
      </w:r>
      <w:r w:rsidR="001E39CF" w:rsidRPr="00DE0563">
        <w:rPr>
          <w:rFonts w:eastAsia="Calibri"/>
          <w:sz w:val="24"/>
          <w:szCs w:val="24"/>
          <w:u w:val="single"/>
        </w:rPr>
        <w:t>. The parties shall file dispositive motions</w:t>
      </w:r>
      <w:r w:rsidR="001E39CF" w:rsidRPr="00DE0563">
        <w:rPr>
          <w:rFonts w:eastAsia="Calibri"/>
          <w:b/>
          <w:sz w:val="24"/>
          <w:szCs w:val="24"/>
          <w:u w:val="single"/>
        </w:rPr>
        <w:t xml:space="preserve"> </w:t>
      </w:r>
      <w:r w:rsidR="001E39CF" w:rsidRPr="00DE0563">
        <w:rPr>
          <w:rFonts w:eastAsia="Calibri"/>
          <w:sz w:val="24"/>
          <w:szCs w:val="24"/>
          <w:u w:val="single"/>
        </w:rPr>
        <w:t xml:space="preserve">no later than </w:t>
      </w:r>
      <w:r>
        <w:rPr>
          <w:rFonts w:eastAsia="Calibri"/>
          <w:sz w:val="24"/>
          <w:szCs w:val="24"/>
          <w:u w:val="single"/>
        </w:rPr>
        <w:t>9</w:t>
      </w:r>
      <w:r w:rsidR="001E39CF" w:rsidRPr="00DE0563">
        <w:rPr>
          <w:rFonts w:eastAsia="Calibri"/>
          <w:sz w:val="24"/>
          <w:szCs w:val="24"/>
          <w:u w:val="single"/>
        </w:rPr>
        <w:t xml:space="preserve"> weeks before the trial commencement date.</w:t>
      </w:r>
    </w:p>
    <w:p w:rsidR="001E39CF" w:rsidRPr="00DE0563" w:rsidRDefault="008D2007" w:rsidP="001E39CF">
      <w:pPr>
        <w:ind w:left="1440" w:hanging="720"/>
        <w:rPr>
          <w:rFonts w:eastAsia="Calibri"/>
          <w:sz w:val="24"/>
          <w:szCs w:val="24"/>
          <w:u w:val="single"/>
        </w:rPr>
      </w:pPr>
      <w:r>
        <w:rPr>
          <w:rFonts w:eastAsia="Calibri"/>
          <w:sz w:val="24"/>
          <w:szCs w:val="24"/>
          <w:u w:val="single"/>
        </w:rPr>
        <w:t>(</w:t>
      </w:r>
      <w:r w:rsidR="001E39CF" w:rsidRPr="00DE0563">
        <w:rPr>
          <w:rFonts w:eastAsia="Calibri"/>
          <w:sz w:val="24"/>
          <w:szCs w:val="24"/>
          <w:u w:val="single"/>
        </w:rPr>
        <w:t>4</w:t>
      </w:r>
      <w:r>
        <w:rPr>
          <w:rFonts w:eastAsia="Calibri"/>
          <w:sz w:val="24"/>
          <w:szCs w:val="24"/>
          <w:u w:val="single"/>
        </w:rPr>
        <w:t>)</w:t>
      </w:r>
      <w:r w:rsidR="001E39CF" w:rsidRPr="00DE0563">
        <w:rPr>
          <w:rFonts w:eastAsia="Calibri"/>
          <w:sz w:val="24"/>
          <w:szCs w:val="24"/>
          <w:u w:val="single"/>
        </w:rPr>
        <w:tab/>
      </w:r>
      <w:r w:rsidR="001E39CF" w:rsidRPr="001E39CF">
        <w:rPr>
          <w:rFonts w:eastAsia="Calibri"/>
          <w:i/>
          <w:sz w:val="24"/>
          <w:szCs w:val="24"/>
          <w:u w:val="single"/>
        </w:rPr>
        <w:t>Pretrial Report</w:t>
      </w:r>
      <w:r w:rsidR="001E39CF" w:rsidRPr="00DE0563">
        <w:rPr>
          <w:rFonts w:eastAsia="Calibri"/>
          <w:sz w:val="24"/>
          <w:szCs w:val="24"/>
          <w:u w:val="single"/>
        </w:rPr>
        <w:t xml:space="preserve">. The parties shall file a pretrial report no later than </w:t>
      </w:r>
      <w:r>
        <w:rPr>
          <w:rFonts w:eastAsia="Calibri"/>
          <w:sz w:val="24"/>
          <w:szCs w:val="24"/>
          <w:u w:val="single"/>
        </w:rPr>
        <w:t>4</w:t>
      </w:r>
      <w:r w:rsidR="001E39CF" w:rsidRPr="00DE0563">
        <w:rPr>
          <w:rFonts w:eastAsia="Calibri"/>
          <w:sz w:val="24"/>
          <w:szCs w:val="24"/>
          <w:u w:val="single"/>
        </w:rPr>
        <w:t xml:space="preserve"> weeks before the trial commencement date.</w:t>
      </w:r>
    </w:p>
    <w:p w:rsidR="001E39CF" w:rsidRPr="00DE0563" w:rsidRDefault="008D2007" w:rsidP="001E39CF">
      <w:pPr>
        <w:ind w:left="1440" w:hanging="720"/>
        <w:rPr>
          <w:rFonts w:eastAsia="Calibri"/>
          <w:sz w:val="24"/>
          <w:szCs w:val="24"/>
          <w:u w:val="single"/>
        </w:rPr>
      </w:pPr>
      <w:r>
        <w:rPr>
          <w:rFonts w:eastAsia="Calibri"/>
          <w:sz w:val="24"/>
          <w:szCs w:val="24"/>
          <w:u w:val="single"/>
        </w:rPr>
        <w:t>(</w:t>
      </w:r>
      <w:r w:rsidR="001E39CF" w:rsidRPr="00DE0563">
        <w:rPr>
          <w:rFonts w:eastAsia="Calibri"/>
          <w:sz w:val="24"/>
          <w:szCs w:val="24"/>
          <w:u w:val="single"/>
        </w:rPr>
        <w:t>5</w:t>
      </w:r>
      <w:r>
        <w:rPr>
          <w:rFonts w:eastAsia="Calibri"/>
          <w:sz w:val="24"/>
          <w:szCs w:val="24"/>
          <w:u w:val="single"/>
        </w:rPr>
        <w:t>)</w:t>
      </w:r>
      <w:r w:rsidR="001E39CF" w:rsidRPr="00DE0563">
        <w:rPr>
          <w:rFonts w:eastAsia="Calibri"/>
          <w:sz w:val="24"/>
          <w:szCs w:val="24"/>
          <w:u w:val="single"/>
        </w:rPr>
        <w:tab/>
      </w:r>
      <w:r w:rsidR="001E39CF" w:rsidRPr="001E39CF">
        <w:rPr>
          <w:rFonts w:eastAsia="Calibri"/>
          <w:i/>
          <w:sz w:val="24"/>
          <w:szCs w:val="24"/>
          <w:u w:val="single"/>
        </w:rPr>
        <w:t>Trial Commencement Date</w:t>
      </w:r>
      <w:r w:rsidR="001E39CF" w:rsidRPr="00DE0563">
        <w:rPr>
          <w:rFonts w:eastAsia="Calibri"/>
          <w:sz w:val="24"/>
          <w:szCs w:val="24"/>
          <w:u w:val="single"/>
        </w:rPr>
        <w:t>. The court shall commence trial</w:t>
      </w:r>
      <w:r w:rsidR="001E39CF" w:rsidRPr="00DE0563">
        <w:rPr>
          <w:rFonts w:eastAsia="Calibri"/>
          <w:b/>
          <w:sz w:val="24"/>
          <w:szCs w:val="24"/>
          <w:u w:val="single"/>
        </w:rPr>
        <w:t xml:space="preserve"> </w:t>
      </w:r>
      <w:r w:rsidR="001E39CF" w:rsidRPr="00DE0563">
        <w:rPr>
          <w:rFonts w:eastAsia="Calibri"/>
          <w:sz w:val="24"/>
          <w:szCs w:val="24"/>
          <w:u w:val="single"/>
        </w:rPr>
        <w:t>no later than 52 weeks after the summons and complaint are filed.</w:t>
      </w:r>
    </w:p>
    <w:p w:rsidR="001E39CF" w:rsidRPr="00DE0563" w:rsidRDefault="001E39CF" w:rsidP="001E39CF">
      <w:pPr>
        <w:ind w:firstLine="720"/>
        <w:rPr>
          <w:rFonts w:eastAsia="Calibri"/>
          <w:sz w:val="24"/>
          <w:szCs w:val="24"/>
          <w:u w:val="single"/>
        </w:rPr>
      </w:pPr>
      <w:r w:rsidRPr="00FE39D1">
        <w:rPr>
          <w:rFonts w:eastAsia="Calibri"/>
          <w:b/>
          <w:sz w:val="24"/>
          <w:szCs w:val="24"/>
          <w:u w:val="single"/>
        </w:rPr>
        <w:t>(b)</w:t>
      </w:r>
      <w:r w:rsidRPr="00FE39D1">
        <w:rPr>
          <w:rFonts w:eastAsia="Calibri"/>
          <w:b/>
          <w:sz w:val="24"/>
          <w:szCs w:val="24"/>
          <w:u w:val="single"/>
        </w:rPr>
        <w:tab/>
      </w:r>
      <w:r>
        <w:rPr>
          <w:rFonts w:eastAsia="Calibri"/>
          <w:b/>
          <w:sz w:val="24"/>
          <w:szCs w:val="24"/>
          <w:u w:val="single"/>
        </w:rPr>
        <w:t xml:space="preserve">Computation of Time. </w:t>
      </w:r>
      <w:r w:rsidRPr="00DE0563">
        <w:rPr>
          <w:rFonts w:eastAsia="Calibri"/>
          <w:sz w:val="24"/>
          <w:szCs w:val="24"/>
          <w:u w:val="single"/>
        </w:rPr>
        <w:t>If application of subsection (a) would result in a deadline falling on a Saturday, Sunday, or legal holiday, the deadline shall be the next day that is not a Saturday, Sunday, or legal holiday.</w:t>
      </w:r>
    </w:p>
    <w:p w:rsidR="001E39CF" w:rsidRPr="00DE0563" w:rsidRDefault="001E39CF" w:rsidP="001E39CF">
      <w:pPr>
        <w:ind w:firstLine="720"/>
        <w:rPr>
          <w:rFonts w:eastAsia="Calibri"/>
          <w:sz w:val="24"/>
          <w:szCs w:val="24"/>
          <w:u w:val="single"/>
        </w:rPr>
      </w:pPr>
      <w:r w:rsidRPr="00FE39D1">
        <w:rPr>
          <w:rFonts w:eastAsia="Calibri"/>
          <w:b/>
          <w:sz w:val="24"/>
          <w:szCs w:val="24"/>
          <w:u w:val="single"/>
        </w:rPr>
        <w:t>(c)</w:t>
      </w:r>
      <w:r w:rsidRPr="00FE39D1">
        <w:rPr>
          <w:rFonts w:eastAsia="Calibri"/>
          <w:b/>
          <w:sz w:val="24"/>
          <w:szCs w:val="24"/>
          <w:u w:val="single"/>
        </w:rPr>
        <w:tab/>
      </w:r>
      <w:r>
        <w:rPr>
          <w:rFonts w:eastAsia="Calibri"/>
          <w:b/>
          <w:sz w:val="24"/>
          <w:szCs w:val="24"/>
          <w:u w:val="single"/>
        </w:rPr>
        <w:t xml:space="preserve">Service.  </w:t>
      </w:r>
      <w:r w:rsidRPr="00DE0563">
        <w:rPr>
          <w:rFonts w:eastAsia="Calibri"/>
          <w:sz w:val="24"/>
          <w:szCs w:val="24"/>
          <w:u w:val="single"/>
        </w:rPr>
        <w:t xml:space="preserve">The party instituting the action shall serve a copy of the initial case schedule on all other parties no later than </w:t>
      </w:r>
      <w:r w:rsidR="008D2007">
        <w:rPr>
          <w:rFonts w:eastAsia="Calibri"/>
          <w:sz w:val="24"/>
          <w:szCs w:val="24"/>
          <w:u w:val="single"/>
        </w:rPr>
        <w:t>10</w:t>
      </w:r>
      <w:r w:rsidRPr="00DE0563">
        <w:rPr>
          <w:rFonts w:eastAsia="Calibri"/>
          <w:sz w:val="24"/>
          <w:szCs w:val="24"/>
          <w:u w:val="single"/>
        </w:rPr>
        <w:t xml:space="preserve"> days after the court issues it.</w:t>
      </w:r>
    </w:p>
    <w:p w:rsidR="001E39CF" w:rsidRPr="00DE0563" w:rsidRDefault="001E39CF" w:rsidP="001E39CF">
      <w:pPr>
        <w:keepNext/>
        <w:ind w:firstLine="720"/>
        <w:rPr>
          <w:rFonts w:eastAsia="Calibri"/>
          <w:sz w:val="24"/>
          <w:szCs w:val="24"/>
          <w:u w:val="single"/>
        </w:rPr>
      </w:pPr>
      <w:r w:rsidRPr="00FE39D1">
        <w:rPr>
          <w:rFonts w:eastAsia="Calibri"/>
          <w:b/>
          <w:sz w:val="24"/>
          <w:szCs w:val="24"/>
          <w:u w:val="single"/>
        </w:rPr>
        <w:t>(d)</w:t>
      </w:r>
      <w:r w:rsidRPr="00FE39D1">
        <w:rPr>
          <w:rFonts w:eastAsia="Calibri"/>
          <w:b/>
          <w:sz w:val="24"/>
          <w:szCs w:val="24"/>
          <w:u w:val="single"/>
        </w:rPr>
        <w:tab/>
        <w:t>Permissive and Mandatory Case Schedule Modifications</w:t>
      </w:r>
      <w:r w:rsidRPr="00F71247">
        <w:rPr>
          <w:rFonts w:eastAsia="Calibri"/>
          <w:b/>
          <w:sz w:val="24"/>
          <w:szCs w:val="24"/>
          <w:u w:val="single"/>
        </w:rPr>
        <w:t>.</w:t>
      </w:r>
    </w:p>
    <w:p w:rsidR="001E39CF" w:rsidRPr="00DE0563" w:rsidRDefault="008D2007" w:rsidP="001E39CF">
      <w:pPr>
        <w:ind w:left="1440" w:hanging="720"/>
        <w:rPr>
          <w:rFonts w:eastAsia="Calibri"/>
          <w:sz w:val="24"/>
          <w:szCs w:val="24"/>
          <w:u w:val="single"/>
        </w:rPr>
      </w:pPr>
      <w:r>
        <w:rPr>
          <w:rFonts w:eastAsia="Calibri"/>
          <w:sz w:val="24"/>
          <w:szCs w:val="24"/>
          <w:u w:val="single"/>
        </w:rPr>
        <w:t>(1)</w:t>
      </w:r>
      <w:r w:rsidR="001E39CF" w:rsidRPr="00DE0563">
        <w:rPr>
          <w:rFonts w:eastAsia="Calibri"/>
          <w:sz w:val="24"/>
          <w:szCs w:val="24"/>
          <w:u w:val="single"/>
        </w:rPr>
        <w:tab/>
        <w:t>The court may modify the case schedule on its own initiative or on a moti</w:t>
      </w:r>
      <w:r>
        <w:rPr>
          <w:rFonts w:eastAsia="Calibri"/>
          <w:sz w:val="24"/>
          <w:szCs w:val="24"/>
          <w:u w:val="single"/>
        </w:rPr>
        <w:t>on demonstrating (a) good cause, (b) the action’s complexity,</w:t>
      </w:r>
      <w:r w:rsidR="001E39CF" w:rsidRPr="00DE0563">
        <w:rPr>
          <w:rFonts w:eastAsia="Calibri"/>
          <w:sz w:val="24"/>
          <w:szCs w:val="24"/>
          <w:u w:val="single"/>
        </w:rPr>
        <w:t xml:space="preserve"> or (c) the </w:t>
      </w:r>
      <w:r w:rsidR="001E39CF" w:rsidRPr="00DE0563">
        <w:rPr>
          <w:rFonts w:eastAsia="Calibri"/>
          <w:sz w:val="24"/>
          <w:szCs w:val="24"/>
          <w:u w:val="single"/>
        </w:rPr>
        <w:lastRenderedPageBreak/>
        <w:t>impracticability of complying with this rule. At a minimum, good cause requires the moving party to demonstrate due diligence in meeting the case schedule requirements. As part of any modification, the court may revise expert witness disclosure deadlines, including to require the plaintiff to serve its expert witness disclosures before the defendant if the issues in the case warrant staggered disclosures.</w:t>
      </w:r>
    </w:p>
    <w:p w:rsidR="001E39CF" w:rsidRPr="00DE0563" w:rsidRDefault="008D2007" w:rsidP="001E39CF">
      <w:pPr>
        <w:ind w:left="1440" w:hanging="720"/>
        <w:rPr>
          <w:rFonts w:eastAsia="Calibri"/>
          <w:sz w:val="24"/>
          <w:szCs w:val="24"/>
          <w:u w:val="single"/>
        </w:rPr>
      </w:pPr>
      <w:r>
        <w:rPr>
          <w:rFonts w:eastAsia="Calibri"/>
          <w:sz w:val="24"/>
          <w:szCs w:val="24"/>
          <w:u w:val="single"/>
        </w:rPr>
        <w:t>(2)</w:t>
      </w:r>
      <w:r w:rsidR="001E39CF" w:rsidRPr="00DE0563">
        <w:rPr>
          <w:rFonts w:eastAsia="Calibri"/>
          <w:sz w:val="24"/>
          <w:szCs w:val="24"/>
          <w:u w:val="single"/>
        </w:rPr>
        <w:tab/>
        <w:t>No case schedule may require a party to violate the terms of a protection, no-contact, or other order preventing direct interaction between persons. To adhere to such orders, the court shall modify the case schedule on its own initiative or on a motion.</w:t>
      </w:r>
    </w:p>
    <w:p w:rsidR="001E39CF" w:rsidRPr="00DE0563" w:rsidRDefault="001E39CF" w:rsidP="001E39CF">
      <w:pPr>
        <w:keepNext/>
        <w:ind w:firstLine="720"/>
        <w:rPr>
          <w:rFonts w:eastAsia="Calibri"/>
          <w:sz w:val="24"/>
          <w:szCs w:val="24"/>
          <w:u w:val="single"/>
        </w:rPr>
      </w:pPr>
      <w:r w:rsidRPr="00FE39D1">
        <w:rPr>
          <w:rFonts w:eastAsia="Calibri"/>
          <w:b/>
          <w:sz w:val="24"/>
          <w:szCs w:val="24"/>
          <w:u w:val="single"/>
        </w:rPr>
        <w:t>(e)</w:t>
      </w:r>
      <w:r w:rsidRPr="00FE39D1">
        <w:rPr>
          <w:rFonts w:eastAsia="Calibri"/>
          <w:b/>
          <w:sz w:val="24"/>
          <w:szCs w:val="24"/>
          <w:u w:val="single"/>
        </w:rPr>
        <w:tab/>
        <w:t>Exemptions</w:t>
      </w:r>
      <w:r>
        <w:rPr>
          <w:rFonts w:eastAsia="Calibri"/>
          <w:b/>
          <w:sz w:val="24"/>
          <w:szCs w:val="24"/>
          <w:u w:val="single"/>
        </w:rPr>
        <w:t xml:space="preserve"> by Action Type</w:t>
      </w:r>
      <w:r w:rsidRPr="00F71247">
        <w:rPr>
          <w:rFonts w:eastAsia="Calibri"/>
          <w:b/>
          <w:sz w:val="24"/>
          <w:szCs w:val="24"/>
          <w:u w:val="single"/>
        </w:rPr>
        <w:t>.</w:t>
      </w:r>
      <w:r>
        <w:rPr>
          <w:rFonts w:eastAsia="Calibri"/>
          <w:sz w:val="24"/>
          <w:szCs w:val="24"/>
          <w:u w:val="single"/>
        </w:rPr>
        <w:t xml:space="preserve">  </w:t>
      </w:r>
      <w:r w:rsidRPr="00DE0563">
        <w:rPr>
          <w:rFonts w:eastAsia="Calibri"/>
          <w:sz w:val="24"/>
          <w:szCs w:val="24"/>
          <w:u w:val="single"/>
        </w:rPr>
        <w:t>The following types of actions are exempt from this rule, although nothing in this rule precludes a court from issuing an alternative case schedule for the following types of actions:</w:t>
      </w:r>
    </w:p>
    <w:p w:rsidR="001E39CF" w:rsidRPr="00DE0563" w:rsidRDefault="001E39CF" w:rsidP="001E39CF">
      <w:pPr>
        <w:ind w:left="1440"/>
        <w:rPr>
          <w:rFonts w:eastAsia="Calibri"/>
          <w:sz w:val="24"/>
          <w:szCs w:val="24"/>
          <w:u w:val="single"/>
        </w:rPr>
      </w:pPr>
      <w:r w:rsidRPr="00DE0563">
        <w:rPr>
          <w:rFonts w:eastAsia="Calibri"/>
          <w:sz w:val="24"/>
          <w:szCs w:val="24"/>
          <w:u w:val="single"/>
        </w:rPr>
        <w:t>RALJ Title 7, appeal from a court of limited jurisdiction;</w:t>
      </w:r>
    </w:p>
    <w:p w:rsidR="001E39CF" w:rsidRPr="00DE0563" w:rsidRDefault="001E39CF" w:rsidP="001E39CF">
      <w:pPr>
        <w:ind w:left="1440"/>
        <w:rPr>
          <w:rFonts w:eastAsia="Calibri"/>
          <w:sz w:val="24"/>
          <w:szCs w:val="24"/>
          <w:u w:val="single"/>
        </w:rPr>
      </w:pPr>
      <w:r w:rsidRPr="00DE0563">
        <w:rPr>
          <w:rFonts w:eastAsia="Calibri"/>
          <w:sz w:val="24"/>
          <w:szCs w:val="24"/>
          <w:u w:val="single"/>
        </w:rPr>
        <w:t>RCW 4.24.130, change of name;</w:t>
      </w:r>
    </w:p>
    <w:p w:rsidR="001E39CF" w:rsidRPr="00DE0563" w:rsidRDefault="008D2007"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4.48</w:t>
      </w:r>
      <w:r w:rsidRPr="008D2007">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proceeding before a referee;</w:t>
      </w:r>
    </w:p>
    <w:p w:rsidR="001E39CF" w:rsidRPr="00DE0563" w:rsidRDefault="001E39CF" w:rsidP="001E39CF">
      <w:pPr>
        <w:ind w:left="1440"/>
        <w:rPr>
          <w:rFonts w:eastAsia="Calibri"/>
          <w:sz w:val="24"/>
          <w:szCs w:val="24"/>
          <w:u w:val="single"/>
        </w:rPr>
      </w:pPr>
      <w:bookmarkStart w:id="0" w:name="_Hlk517522199"/>
      <w:r w:rsidRPr="00DE0563">
        <w:rPr>
          <w:rFonts w:eastAsia="Calibri"/>
          <w:sz w:val="24"/>
          <w:szCs w:val="24"/>
          <w:u w:val="single"/>
        </w:rPr>
        <w:t>RCW 4.64.090, abstract of transcript of judgment;</w:t>
      </w:r>
      <w:bookmarkEnd w:id="0"/>
    </w:p>
    <w:p w:rsidR="001E39CF" w:rsidRPr="00DE0563" w:rsidRDefault="008D2007" w:rsidP="001E39CF">
      <w:pPr>
        <w:ind w:left="1440"/>
        <w:rPr>
          <w:rFonts w:eastAsia="Calibri"/>
          <w:sz w:val="24"/>
          <w:szCs w:val="24"/>
          <w:u w:val="single"/>
        </w:rPr>
      </w:pPr>
      <w:r>
        <w:rPr>
          <w:rFonts w:eastAsia="Calibri"/>
          <w:sz w:val="24"/>
          <w:szCs w:val="24"/>
          <w:u w:val="single"/>
        </w:rPr>
        <w:t xml:space="preserve">Ch. </w:t>
      </w:r>
      <w:r w:rsidRPr="00DE0563">
        <w:rPr>
          <w:rFonts w:eastAsia="Calibri"/>
          <w:bCs/>
          <w:sz w:val="24"/>
          <w:szCs w:val="24"/>
          <w:u w:val="single"/>
        </w:rPr>
        <w:t>5.51</w:t>
      </w:r>
      <w:r>
        <w:rPr>
          <w:rFonts w:eastAsia="Calibri"/>
          <w:bCs/>
          <w:sz w:val="24"/>
          <w:szCs w:val="24"/>
          <w:u w:val="single"/>
        </w:rPr>
        <w:t xml:space="preserve"> </w:t>
      </w:r>
      <w:r>
        <w:rPr>
          <w:rFonts w:eastAsia="Calibri"/>
          <w:sz w:val="24"/>
          <w:szCs w:val="24"/>
          <w:u w:val="single"/>
        </w:rPr>
        <w:t>RCW</w:t>
      </w:r>
      <w:r w:rsidR="00213BF8">
        <w:rPr>
          <w:rFonts w:eastAsia="Calibri"/>
          <w:bCs/>
          <w:sz w:val="24"/>
          <w:szCs w:val="24"/>
          <w:u w:val="single"/>
        </w:rPr>
        <w:t>, u</w:t>
      </w:r>
      <w:r w:rsidR="001E39CF" w:rsidRPr="00DE0563">
        <w:rPr>
          <w:rFonts w:eastAsia="Calibri"/>
          <w:bCs/>
          <w:sz w:val="24"/>
          <w:szCs w:val="24"/>
          <w:u w:val="single"/>
        </w:rPr>
        <w:t xml:space="preserve">niform </w:t>
      </w:r>
      <w:r w:rsidR="00213BF8">
        <w:rPr>
          <w:rFonts w:eastAsia="Calibri"/>
          <w:bCs/>
          <w:sz w:val="24"/>
          <w:szCs w:val="24"/>
          <w:u w:val="single"/>
        </w:rPr>
        <w:t>i</w:t>
      </w:r>
      <w:r w:rsidR="001E39CF" w:rsidRPr="00DE0563">
        <w:rPr>
          <w:rFonts w:eastAsia="Calibri"/>
          <w:bCs/>
          <w:sz w:val="24"/>
          <w:szCs w:val="24"/>
          <w:u w:val="single"/>
        </w:rPr>
        <w:t xml:space="preserve">nterstate </w:t>
      </w:r>
      <w:r w:rsidR="00213BF8">
        <w:rPr>
          <w:rFonts w:eastAsia="Calibri"/>
          <w:bCs/>
          <w:sz w:val="24"/>
          <w:szCs w:val="24"/>
          <w:u w:val="single"/>
        </w:rPr>
        <w:t>depositions and d</w:t>
      </w:r>
      <w:r w:rsidR="001E39CF" w:rsidRPr="00DE0563">
        <w:rPr>
          <w:rFonts w:eastAsia="Calibri"/>
          <w:bCs/>
          <w:sz w:val="24"/>
          <w:szCs w:val="24"/>
          <w:u w:val="single"/>
        </w:rPr>
        <w:t xml:space="preserve">iscovery </w:t>
      </w:r>
      <w:r w:rsidR="00213BF8">
        <w:rPr>
          <w:rFonts w:eastAsia="Calibri"/>
          <w:bCs/>
          <w:sz w:val="24"/>
          <w:szCs w:val="24"/>
          <w:u w:val="single"/>
        </w:rPr>
        <w:t>a</w:t>
      </w:r>
      <w:r w:rsidR="001E39CF" w:rsidRPr="00DE0563">
        <w:rPr>
          <w:rFonts w:eastAsia="Calibri"/>
          <w:bCs/>
          <w:sz w:val="24"/>
          <w:szCs w:val="24"/>
          <w:u w:val="single"/>
        </w:rPr>
        <w:t>ct</w:t>
      </w:r>
      <w:r w:rsidR="001E39CF" w:rsidRPr="00DE0563">
        <w:rPr>
          <w:rFonts w:eastAsia="Calibri"/>
          <w:sz w:val="24"/>
          <w:szCs w:val="24"/>
          <w:u w:val="single"/>
        </w:rPr>
        <w:t>;</w:t>
      </w:r>
    </w:p>
    <w:p w:rsidR="001E39CF" w:rsidRPr="00DE0563" w:rsidRDefault="00213BF8"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6.36</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Uniform Enforcement of Foreign Judgments Act;</w:t>
      </w:r>
    </w:p>
    <w:p w:rsidR="001E39CF" w:rsidRPr="00DE0563" w:rsidRDefault="00213BF8"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7.06</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mandatory arbitration appeal;</w:t>
      </w:r>
    </w:p>
    <w:p w:rsidR="001E39CF" w:rsidRPr="00DE0563" w:rsidRDefault="00213BF8"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7.16</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writs;</w:t>
      </w:r>
    </w:p>
    <w:p w:rsidR="001E39CF" w:rsidRPr="00DE0563" w:rsidRDefault="00213BF8"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7.24</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Uniform Declaratory Judgments Act;</w:t>
      </w:r>
    </w:p>
    <w:p w:rsidR="001E39CF" w:rsidRPr="00DE0563" w:rsidRDefault="00213BF8" w:rsidP="00F7008B">
      <w:pPr>
        <w:spacing w:after="120"/>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7.36</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habeas corpus;</w:t>
      </w:r>
    </w:p>
    <w:p w:rsidR="001E39CF" w:rsidRPr="00DE0563" w:rsidRDefault="00213BF8" w:rsidP="00F7008B">
      <w:pPr>
        <w:spacing w:line="240" w:lineRule="auto"/>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7.60</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appointment of receiver if not combined with, or ancillary to, an action seeking a money judgment or other relief;</w:t>
      </w:r>
    </w:p>
    <w:p w:rsidR="001E39CF" w:rsidRPr="00DE0563" w:rsidRDefault="00213BF8"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7.90</w:t>
      </w:r>
      <w:r w:rsidRPr="00213BF8">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sexual assault protection order;</w:t>
      </w:r>
    </w:p>
    <w:p w:rsidR="001E39CF" w:rsidRPr="00DE0563" w:rsidRDefault="00F7008B"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7.94</w:t>
      </w:r>
      <w:r w:rsidRPr="00F7008B">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extreme risk protection order;</w:t>
      </w:r>
    </w:p>
    <w:p w:rsidR="001E39CF" w:rsidRPr="00DE0563" w:rsidRDefault="001E39CF" w:rsidP="001E39CF">
      <w:pPr>
        <w:pStyle w:val="NoSpacing"/>
        <w:ind w:left="720" w:firstLine="720"/>
        <w:rPr>
          <w:rFonts w:eastAsia="Calibri"/>
          <w:sz w:val="24"/>
          <w:u w:val="single"/>
        </w:rPr>
      </w:pPr>
      <w:r w:rsidRPr="00DE0563">
        <w:rPr>
          <w:rFonts w:eastAsia="Calibri"/>
          <w:sz w:val="24"/>
          <w:u w:val="single"/>
        </w:rPr>
        <w:lastRenderedPageBreak/>
        <w:t>Title 8</w:t>
      </w:r>
      <w:r w:rsidR="00047D2B" w:rsidRPr="00047D2B">
        <w:rPr>
          <w:rFonts w:eastAsia="Calibri"/>
          <w:sz w:val="24"/>
          <w:u w:val="single"/>
        </w:rPr>
        <w:t xml:space="preserve"> </w:t>
      </w:r>
      <w:r w:rsidR="00047D2B" w:rsidRPr="00DE0563">
        <w:rPr>
          <w:rFonts w:eastAsia="Calibri"/>
          <w:sz w:val="24"/>
          <w:u w:val="single"/>
        </w:rPr>
        <w:t>RCW</w:t>
      </w:r>
      <w:r w:rsidRPr="00DE0563">
        <w:rPr>
          <w:rFonts w:eastAsia="Calibri"/>
          <w:sz w:val="24"/>
          <w:u w:val="single"/>
        </w:rPr>
        <w:t>, eminent domain;</w:t>
      </w:r>
    </w:p>
    <w:p w:rsidR="001E39CF" w:rsidRPr="00DE0563" w:rsidRDefault="001E39CF" w:rsidP="001E39CF">
      <w:pPr>
        <w:pStyle w:val="NoSpacing"/>
        <w:ind w:left="720" w:firstLine="720"/>
        <w:rPr>
          <w:rFonts w:eastAsia="Calibri"/>
          <w:sz w:val="24"/>
          <w:u w:val="single"/>
        </w:rPr>
      </w:pPr>
    </w:p>
    <w:p w:rsidR="001E39CF" w:rsidRPr="00047D2B" w:rsidRDefault="00047D2B" w:rsidP="00047D2B">
      <w:pPr>
        <w:pStyle w:val="NoSpacing"/>
        <w:ind w:left="720" w:firstLine="720"/>
        <w:rPr>
          <w:rFonts w:eastAsia="Calibri"/>
          <w:sz w:val="24"/>
          <w:u w:val="single"/>
        </w:rPr>
      </w:pPr>
      <w:r>
        <w:rPr>
          <w:rFonts w:eastAsia="Calibri"/>
          <w:sz w:val="24"/>
          <w:u w:val="single"/>
        </w:rPr>
        <w:t>C</w:t>
      </w:r>
      <w:r w:rsidR="001E39CF" w:rsidRPr="00DE0563">
        <w:rPr>
          <w:rFonts w:eastAsia="Calibri"/>
          <w:sz w:val="24"/>
          <w:u w:val="single"/>
        </w:rPr>
        <w:t>h. 10.14</w:t>
      </w:r>
      <w:r w:rsidRPr="00047D2B">
        <w:rPr>
          <w:rFonts w:eastAsia="Calibri"/>
          <w:sz w:val="24"/>
          <w:u w:val="single"/>
        </w:rPr>
        <w:t xml:space="preserve"> </w:t>
      </w:r>
      <w:r w:rsidRPr="00DE0563">
        <w:rPr>
          <w:rFonts w:eastAsia="Calibri"/>
          <w:sz w:val="24"/>
          <w:u w:val="single"/>
        </w:rPr>
        <w:t>RCW</w:t>
      </w:r>
      <w:r>
        <w:rPr>
          <w:rFonts w:eastAsia="Calibri"/>
          <w:sz w:val="24"/>
          <w:u w:val="single"/>
        </w:rPr>
        <w:t xml:space="preserve">, </w:t>
      </w:r>
      <w:proofErr w:type="spellStart"/>
      <w:r>
        <w:rPr>
          <w:rFonts w:eastAsia="Calibri"/>
          <w:sz w:val="24"/>
          <w:u w:val="single"/>
        </w:rPr>
        <w:t>anti</w:t>
      </w:r>
      <w:r w:rsidR="001E39CF" w:rsidRPr="00DE0563">
        <w:rPr>
          <w:rFonts w:eastAsia="Calibri"/>
          <w:sz w:val="24"/>
          <w:u w:val="single"/>
        </w:rPr>
        <w:t>harassment</w:t>
      </w:r>
      <w:proofErr w:type="spellEnd"/>
      <w:r w:rsidR="001E39CF" w:rsidRPr="00DE0563">
        <w:rPr>
          <w:rFonts w:eastAsia="Calibri"/>
          <w:sz w:val="24"/>
          <w:u w:val="single"/>
        </w:rPr>
        <w:t xml:space="preserve"> protection order;</w:t>
      </w:r>
    </w:p>
    <w:p w:rsidR="001E39CF" w:rsidRPr="00DE0563" w:rsidRDefault="00047D2B"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10.77</w:t>
      </w:r>
      <w:r w:rsidRPr="00047D2B">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criminally insane procedure;</w:t>
      </w:r>
    </w:p>
    <w:p w:rsidR="001E39CF" w:rsidRPr="00DE0563" w:rsidRDefault="001E39CF" w:rsidP="001E39CF">
      <w:pPr>
        <w:ind w:left="1440"/>
        <w:rPr>
          <w:rFonts w:eastAsia="Calibri"/>
          <w:sz w:val="24"/>
          <w:szCs w:val="24"/>
          <w:u w:val="single"/>
        </w:rPr>
      </w:pPr>
      <w:r w:rsidRPr="00DE0563">
        <w:rPr>
          <w:rFonts w:eastAsia="Calibri"/>
          <w:sz w:val="24"/>
          <w:szCs w:val="24"/>
          <w:u w:val="single"/>
        </w:rPr>
        <w:t>Title 11</w:t>
      </w:r>
      <w:r w:rsidR="00047D2B" w:rsidRPr="00047D2B">
        <w:rPr>
          <w:rFonts w:eastAsia="Calibri"/>
          <w:sz w:val="24"/>
          <w:szCs w:val="24"/>
          <w:u w:val="single"/>
        </w:rPr>
        <w:t xml:space="preserve"> </w:t>
      </w:r>
      <w:r w:rsidR="00047D2B" w:rsidRPr="00DE0563">
        <w:rPr>
          <w:rFonts w:eastAsia="Calibri"/>
          <w:sz w:val="24"/>
          <w:szCs w:val="24"/>
          <w:u w:val="single"/>
        </w:rPr>
        <w:t>RCW</w:t>
      </w:r>
      <w:r w:rsidRPr="00DE0563">
        <w:rPr>
          <w:rFonts w:eastAsia="Calibri"/>
          <w:sz w:val="24"/>
          <w:szCs w:val="24"/>
          <w:u w:val="single"/>
        </w:rPr>
        <w:t>, probate and trust law;</w:t>
      </w:r>
    </w:p>
    <w:p w:rsidR="001E39CF" w:rsidRPr="00DE0563" w:rsidRDefault="00047D2B"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12.36</w:t>
      </w:r>
      <w:r w:rsidRPr="00047D2B">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small claims appeal;</w:t>
      </w:r>
    </w:p>
    <w:p w:rsidR="001E39CF" w:rsidRPr="00DE0563" w:rsidRDefault="001E39CF" w:rsidP="001E39CF">
      <w:pPr>
        <w:ind w:left="1440"/>
        <w:rPr>
          <w:rFonts w:eastAsia="Calibri"/>
          <w:sz w:val="24"/>
          <w:szCs w:val="24"/>
          <w:u w:val="single"/>
        </w:rPr>
      </w:pPr>
      <w:r w:rsidRPr="00DE0563">
        <w:rPr>
          <w:rFonts w:eastAsia="Calibri"/>
          <w:sz w:val="24"/>
          <w:szCs w:val="24"/>
          <w:u w:val="single"/>
        </w:rPr>
        <w:t>Title 13</w:t>
      </w:r>
      <w:r w:rsidR="00047D2B" w:rsidRPr="00047D2B">
        <w:rPr>
          <w:rFonts w:eastAsia="Calibri"/>
          <w:sz w:val="24"/>
          <w:szCs w:val="24"/>
          <w:u w:val="single"/>
        </w:rPr>
        <w:t xml:space="preserve"> </w:t>
      </w:r>
      <w:r w:rsidR="00047D2B" w:rsidRPr="00DE0563">
        <w:rPr>
          <w:rFonts w:eastAsia="Calibri"/>
          <w:sz w:val="24"/>
          <w:szCs w:val="24"/>
          <w:u w:val="single"/>
        </w:rPr>
        <w:t>RCW</w:t>
      </w:r>
      <w:r w:rsidRPr="00DE0563">
        <w:rPr>
          <w:rFonts w:eastAsia="Calibri"/>
          <w:sz w:val="24"/>
          <w:szCs w:val="24"/>
          <w:u w:val="single"/>
        </w:rPr>
        <w:t>, juvenile courts, juvenile offenders, etc</w:t>
      </w:r>
      <w:proofErr w:type="gramStart"/>
      <w:r w:rsidRPr="00DE0563">
        <w:rPr>
          <w:rFonts w:eastAsia="Calibri"/>
          <w:sz w:val="24"/>
          <w:szCs w:val="24"/>
          <w:u w:val="single"/>
        </w:rPr>
        <w:t>.;</w:t>
      </w:r>
      <w:proofErr w:type="gramEnd"/>
    </w:p>
    <w:p w:rsidR="001E39CF" w:rsidRPr="00DE0563" w:rsidRDefault="001E39CF" w:rsidP="00BD4E3A">
      <w:pPr>
        <w:spacing w:after="120"/>
        <w:ind w:left="1440"/>
        <w:rPr>
          <w:rFonts w:eastAsia="Calibri"/>
          <w:sz w:val="24"/>
          <w:szCs w:val="24"/>
          <w:u w:val="single"/>
        </w:rPr>
      </w:pPr>
      <w:r w:rsidRPr="00DE0563">
        <w:rPr>
          <w:rFonts w:eastAsia="Calibri"/>
          <w:sz w:val="24"/>
          <w:szCs w:val="24"/>
          <w:u w:val="single"/>
        </w:rPr>
        <w:t>Title 26</w:t>
      </w:r>
      <w:r w:rsidR="00047D2B" w:rsidRPr="00047D2B">
        <w:rPr>
          <w:rFonts w:eastAsia="Calibri"/>
          <w:sz w:val="24"/>
          <w:szCs w:val="24"/>
          <w:u w:val="single"/>
        </w:rPr>
        <w:t xml:space="preserve"> </w:t>
      </w:r>
      <w:r w:rsidR="00047D2B" w:rsidRPr="00DE0563">
        <w:rPr>
          <w:rFonts w:eastAsia="Calibri"/>
          <w:sz w:val="24"/>
          <w:szCs w:val="24"/>
          <w:u w:val="single"/>
        </w:rPr>
        <w:t>RCW</w:t>
      </w:r>
      <w:r w:rsidRPr="00DE0563">
        <w:rPr>
          <w:rFonts w:eastAsia="Calibri"/>
          <w:sz w:val="24"/>
          <w:szCs w:val="24"/>
          <w:u w:val="single"/>
        </w:rPr>
        <w:t xml:space="preserve">, </w:t>
      </w:r>
      <w:r>
        <w:rPr>
          <w:rFonts w:eastAsia="Calibri"/>
          <w:sz w:val="24"/>
          <w:szCs w:val="24"/>
          <w:u w:val="single"/>
        </w:rPr>
        <w:t>d</w:t>
      </w:r>
      <w:r w:rsidRPr="00DE0563">
        <w:rPr>
          <w:rFonts w:eastAsia="Calibri"/>
          <w:sz w:val="24"/>
          <w:szCs w:val="24"/>
          <w:u w:val="single"/>
        </w:rPr>
        <w:t>omestic relations;</w:t>
      </w:r>
    </w:p>
    <w:p w:rsidR="001E39CF" w:rsidRPr="00DE0563" w:rsidRDefault="001E39CF" w:rsidP="00BD4E3A">
      <w:pPr>
        <w:spacing w:line="240" w:lineRule="auto"/>
        <w:ind w:left="1440"/>
        <w:rPr>
          <w:rFonts w:eastAsia="Calibri"/>
          <w:sz w:val="24"/>
          <w:szCs w:val="24"/>
          <w:u w:val="single"/>
        </w:rPr>
      </w:pPr>
      <w:r w:rsidRPr="00DE0563">
        <w:rPr>
          <w:rFonts w:eastAsia="Calibri"/>
          <w:sz w:val="24"/>
          <w:szCs w:val="24"/>
          <w:u w:val="single"/>
        </w:rPr>
        <w:t>RCW 29A.72.080, appeal of ballot title or summary for a state initiative or referendum;</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34.05</w:t>
      </w:r>
      <w:r w:rsidR="00BD4E3A" w:rsidRPr="00BD4E3A">
        <w:rPr>
          <w:rFonts w:eastAsia="Calibri"/>
          <w:sz w:val="24"/>
          <w:szCs w:val="24"/>
          <w:u w:val="single"/>
        </w:rPr>
        <w:t xml:space="preserve"> </w:t>
      </w:r>
      <w:r w:rsidR="00BD4E3A" w:rsidRPr="00DE0563">
        <w:rPr>
          <w:rFonts w:eastAsia="Calibri"/>
          <w:sz w:val="24"/>
          <w:szCs w:val="24"/>
          <w:u w:val="single"/>
        </w:rPr>
        <w:t>RCW</w:t>
      </w:r>
      <w:r w:rsidR="001E39CF" w:rsidRPr="00DE0563">
        <w:rPr>
          <w:rFonts w:eastAsia="Calibri"/>
          <w:sz w:val="24"/>
          <w:szCs w:val="24"/>
          <w:u w:val="single"/>
        </w:rPr>
        <w:t>, Administrative Procedure Act;</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35.50</w:t>
      </w:r>
      <w:r w:rsidR="00BD4E3A" w:rsidRPr="00BD4E3A">
        <w:rPr>
          <w:rFonts w:eastAsia="Calibri"/>
          <w:sz w:val="24"/>
          <w:szCs w:val="24"/>
          <w:u w:val="single"/>
        </w:rPr>
        <w:t xml:space="preserve"> </w:t>
      </w:r>
      <w:r w:rsidR="00BD4E3A" w:rsidRPr="00DE0563">
        <w:rPr>
          <w:rFonts w:eastAsia="Calibri"/>
          <w:sz w:val="24"/>
          <w:szCs w:val="24"/>
          <w:u w:val="single"/>
        </w:rPr>
        <w:t>RCW</w:t>
      </w:r>
      <w:r w:rsidR="001E39CF" w:rsidRPr="00DE0563">
        <w:rPr>
          <w:rFonts w:eastAsia="Calibri"/>
          <w:sz w:val="24"/>
          <w:szCs w:val="24"/>
          <w:u w:val="single"/>
        </w:rPr>
        <w:t>, local improvement assessment foreclosure;</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36.70C</w:t>
      </w:r>
      <w:r w:rsidR="00BD4E3A" w:rsidRPr="00BD4E3A">
        <w:rPr>
          <w:rFonts w:eastAsia="Calibri"/>
          <w:sz w:val="24"/>
          <w:szCs w:val="24"/>
          <w:u w:val="single"/>
        </w:rPr>
        <w:t xml:space="preserve"> </w:t>
      </w:r>
      <w:r w:rsidR="00BD4E3A" w:rsidRPr="00DE0563">
        <w:rPr>
          <w:rFonts w:eastAsia="Calibri"/>
          <w:sz w:val="24"/>
          <w:szCs w:val="24"/>
          <w:u w:val="single"/>
        </w:rPr>
        <w:t>RCW</w:t>
      </w:r>
      <w:r w:rsidR="001E39CF" w:rsidRPr="00DE0563">
        <w:rPr>
          <w:rFonts w:eastAsia="Calibri"/>
          <w:sz w:val="24"/>
          <w:szCs w:val="24"/>
          <w:u w:val="single"/>
        </w:rPr>
        <w:t>, Land Use Petition Act;</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51.52</w:t>
      </w:r>
      <w:r w:rsidRPr="00967C5A">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appeal from the board of industrial insurance appeals;</w:t>
      </w:r>
    </w:p>
    <w:p w:rsidR="001E39CF" w:rsidRPr="004A64E5"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59.12</w:t>
      </w:r>
      <w:r w:rsidRPr="00967C5A">
        <w:rPr>
          <w:rFonts w:eastAsia="Calibri"/>
          <w:sz w:val="24"/>
          <w:szCs w:val="24"/>
          <w:u w:val="single"/>
        </w:rPr>
        <w:t xml:space="preserve"> </w:t>
      </w:r>
      <w:r w:rsidRPr="00DE0563">
        <w:rPr>
          <w:rFonts w:eastAsia="Calibri"/>
          <w:sz w:val="24"/>
          <w:szCs w:val="24"/>
          <w:u w:val="single"/>
        </w:rPr>
        <w:t>RCW</w:t>
      </w:r>
      <w:r w:rsidR="001E39CF" w:rsidRPr="004A64E5">
        <w:rPr>
          <w:rFonts w:eastAsia="Calibri"/>
          <w:sz w:val="24"/>
          <w:szCs w:val="24"/>
          <w:u w:val="single"/>
        </w:rPr>
        <w:t>, unlawful detainer;</w:t>
      </w:r>
    </w:p>
    <w:p w:rsidR="001E39CF" w:rsidRPr="004A64E5" w:rsidRDefault="00967C5A" w:rsidP="001E39CF">
      <w:pPr>
        <w:ind w:left="1440"/>
        <w:rPr>
          <w:rFonts w:eastAsia="Calibri"/>
          <w:sz w:val="24"/>
          <w:szCs w:val="24"/>
          <w:u w:val="single"/>
        </w:rPr>
      </w:pPr>
      <w:r>
        <w:rPr>
          <w:rFonts w:eastAsia="Calibri"/>
          <w:sz w:val="24"/>
          <w:szCs w:val="24"/>
          <w:u w:val="single"/>
        </w:rPr>
        <w:t>C</w:t>
      </w:r>
      <w:r w:rsidR="001E39CF" w:rsidRPr="004A64E5">
        <w:rPr>
          <w:rFonts w:eastAsia="Calibri"/>
          <w:sz w:val="24"/>
          <w:szCs w:val="24"/>
          <w:u w:val="single"/>
        </w:rPr>
        <w:t>h. 59.18</w:t>
      </w:r>
      <w:r w:rsidRPr="00967C5A">
        <w:rPr>
          <w:rFonts w:eastAsia="Calibri"/>
          <w:sz w:val="24"/>
          <w:szCs w:val="24"/>
          <w:u w:val="single"/>
        </w:rPr>
        <w:t xml:space="preserve"> </w:t>
      </w:r>
      <w:r w:rsidRPr="004A64E5">
        <w:rPr>
          <w:rFonts w:eastAsia="Calibri"/>
          <w:sz w:val="24"/>
          <w:szCs w:val="24"/>
          <w:u w:val="single"/>
        </w:rPr>
        <w:t>RCW</w:t>
      </w:r>
      <w:r w:rsidR="001E39CF" w:rsidRPr="004A64E5">
        <w:rPr>
          <w:rFonts w:eastAsia="Calibri"/>
          <w:sz w:val="24"/>
          <w:szCs w:val="24"/>
          <w:u w:val="single"/>
        </w:rPr>
        <w:t>, Residential Landlord-Tenant Act</w:t>
      </w:r>
      <w:r>
        <w:rPr>
          <w:rFonts w:eastAsia="Calibri"/>
          <w:sz w:val="24"/>
          <w:szCs w:val="24"/>
          <w:u w:val="single"/>
        </w:rPr>
        <w:t xml:space="preserve"> of 1973</w:t>
      </w:r>
      <w:r w:rsidR="001E39CF" w:rsidRPr="004A64E5">
        <w:rPr>
          <w:rFonts w:eastAsia="Calibri"/>
          <w:sz w:val="24"/>
          <w:szCs w:val="24"/>
          <w:u w:val="single"/>
        </w:rPr>
        <w:t xml:space="preserve">; </w:t>
      </w:r>
    </w:p>
    <w:p w:rsidR="001E39CF"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71.05</w:t>
      </w:r>
      <w:r w:rsidRPr="00967C5A">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mental illness;</w:t>
      </w:r>
    </w:p>
    <w:p w:rsidR="001E39CF" w:rsidRPr="00DE0563" w:rsidRDefault="00967C5A" w:rsidP="001E39CF">
      <w:pPr>
        <w:ind w:left="1440"/>
        <w:rPr>
          <w:rFonts w:eastAsia="Calibri"/>
          <w:sz w:val="24"/>
          <w:szCs w:val="24"/>
          <w:u w:val="single"/>
        </w:rPr>
      </w:pPr>
      <w:r>
        <w:rPr>
          <w:sz w:val="24"/>
          <w:szCs w:val="24"/>
          <w:u w:val="single"/>
        </w:rPr>
        <w:t>C</w:t>
      </w:r>
      <w:r w:rsidR="001E39CF" w:rsidRPr="004A64E5">
        <w:rPr>
          <w:sz w:val="24"/>
          <w:szCs w:val="24"/>
          <w:u w:val="single"/>
        </w:rPr>
        <w:t>h. 7</w:t>
      </w:r>
      <w:r w:rsidR="001E39CF">
        <w:rPr>
          <w:sz w:val="24"/>
          <w:szCs w:val="24"/>
          <w:u w:val="single"/>
        </w:rPr>
        <w:t>1</w:t>
      </w:r>
      <w:r w:rsidR="001E39CF" w:rsidRPr="00DE0563">
        <w:rPr>
          <w:sz w:val="24"/>
          <w:szCs w:val="24"/>
          <w:u w:val="single"/>
        </w:rPr>
        <w:t>.09</w:t>
      </w:r>
      <w:r w:rsidRPr="00967C5A">
        <w:rPr>
          <w:sz w:val="24"/>
          <w:szCs w:val="24"/>
          <w:u w:val="single"/>
        </w:rPr>
        <w:t xml:space="preserve"> </w:t>
      </w:r>
      <w:r w:rsidRPr="004A64E5">
        <w:rPr>
          <w:sz w:val="24"/>
          <w:szCs w:val="24"/>
          <w:u w:val="single"/>
        </w:rPr>
        <w:t>RCW</w:t>
      </w:r>
      <w:r w:rsidR="001E39CF" w:rsidRPr="00DE0563">
        <w:rPr>
          <w:sz w:val="24"/>
          <w:szCs w:val="24"/>
          <w:u w:val="single"/>
        </w:rPr>
        <w:t>, sexually violent predator commitment;</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74.20</w:t>
      </w:r>
      <w:r w:rsidRPr="00967C5A">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support of dependent children;</w:t>
      </w:r>
    </w:p>
    <w:p w:rsidR="001E39CF" w:rsidRPr="00DE0563" w:rsidRDefault="00967C5A" w:rsidP="001E39CF">
      <w:pPr>
        <w:ind w:left="1440"/>
        <w:rPr>
          <w:rFonts w:eastAsia="Calibri"/>
          <w:sz w:val="24"/>
          <w:szCs w:val="24"/>
          <w:u w:val="single"/>
        </w:rPr>
      </w:pPr>
      <w:r>
        <w:rPr>
          <w:rFonts w:eastAsia="Calibri"/>
          <w:sz w:val="24"/>
          <w:szCs w:val="24"/>
          <w:u w:val="single"/>
        </w:rPr>
        <w:t>C</w:t>
      </w:r>
      <w:r w:rsidR="001E39CF" w:rsidRPr="00DE0563">
        <w:rPr>
          <w:rFonts w:eastAsia="Calibri"/>
          <w:sz w:val="24"/>
          <w:szCs w:val="24"/>
          <w:u w:val="single"/>
        </w:rPr>
        <w:t>h. 74.34</w:t>
      </w:r>
      <w:r w:rsidRPr="00967C5A">
        <w:rPr>
          <w:rFonts w:eastAsia="Calibri"/>
          <w:sz w:val="24"/>
          <w:szCs w:val="24"/>
          <w:u w:val="single"/>
        </w:rPr>
        <w:t xml:space="preserve"> </w:t>
      </w:r>
      <w:r w:rsidRPr="00DE0563">
        <w:rPr>
          <w:rFonts w:eastAsia="Calibri"/>
          <w:sz w:val="24"/>
          <w:szCs w:val="24"/>
          <w:u w:val="single"/>
        </w:rPr>
        <w:t>RCW</w:t>
      </w:r>
      <w:r w:rsidR="001E39CF" w:rsidRPr="00DE0563">
        <w:rPr>
          <w:rFonts w:eastAsia="Calibri"/>
          <w:sz w:val="24"/>
          <w:szCs w:val="24"/>
          <w:u w:val="single"/>
        </w:rPr>
        <w:t>, abuse of vulnerable adults;</w:t>
      </w:r>
    </w:p>
    <w:p w:rsidR="001E39CF" w:rsidRPr="00DE0563" w:rsidRDefault="00967C5A" w:rsidP="00967C5A">
      <w:pPr>
        <w:spacing w:after="120"/>
        <w:ind w:left="1440"/>
        <w:rPr>
          <w:rFonts w:eastAsia="Calibri"/>
          <w:sz w:val="24"/>
          <w:szCs w:val="24"/>
          <w:u w:val="single"/>
        </w:rPr>
      </w:pPr>
      <w:r>
        <w:rPr>
          <w:sz w:val="24"/>
          <w:szCs w:val="24"/>
          <w:u w:val="single"/>
        </w:rPr>
        <w:t>C</w:t>
      </w:r>
      <w:r w:rsidR="001E39CF" w:rsidRPr="00DE0563">
        <w:rPr>
          <w:sz w:val="24"/>
          <w:szCs w:val="24"/>
          <w:u w:val="single"/>
        </w:rPr>
        <w:t>h. 84.64</w:t>
      </w:r>
      <w:r w:rsidRPr="00967C5A">
        <w:rPr>
          <w:sz w:val="24"/>
          <w:szCs w:val="24"/>
          <w:u w:val="single"/>
        </w:rPr>
        <w:t xml:space="preserve"> </w:t>
      </w:r>
      <w:r w:rsidRPr="00DE0563">
        <w:rPr>
          <w:sz w:val="24"/>
          <w:szCs w:val="24"/>
          <w:u w:val="single"/>
        </w:rPr>
        <w:t>RCW</w:t>
      </w:r>
      <w:r w:rsidR="001E39CF" w:rsidRPr="00DE0563">
        <w:rPr>
          <w:sz w:val="24"/>
          <w:szCs w:val="24"/>
          <w:u w:val="single"/>
        </w:rPr>
        <w:t>, lien foreclosure;</w:t>
      </w:r>
    </w:p>
    <w:p w:rsidR="001E39CF" w:rsidRPr="00DE0563" w:rsidRDefault="001E39CF" w:rsidP="00967C5A">
      <w:pPr>
        <w:spacing w:line="240" w:lineRule="auto"/>
        <w:ind w:left="1440"/>
        <w:rPr>
          <w:sz w:val="24"/>
          <w:szCs w:val="24"/>
          <w:u w:val="single"/>
        </w:rPr>
      </w:pPr>
      <w:r w:rsidRPr="00DE0563">
        <w:rPr>
          <w:sz w:val="24"/>
          <w:szCs w:val="24"/>
          <w:u w:val="single"/>
        </w:rPr>
        <w:t>SPR 98.08W, settlement of claims by guardian, receiver, or personal representative;</w:t>
      </w:r>
    </w:p>
    <w:p w:rsidR="001E39CF" w:rsidRPr="00DE0563" w:rsidRDefault="001E39CF" w:rsidP="001E39CF">
      <w:pPr>
        <w:ind w:left="1440"/>
        <w:rPr>
          <w:sz w:val="24"/>
          <w:szCs w:val="24"/>
          <w:u w:val="single"/>
        </w:rPr>
      </w:pPr>
      <w:r w:rsidRPr="00DE0563">
        <w:rPr>
          <w:sz w:val="24"/>
          <w:szCs w:val="24"/>
          <w:u w:val="single"/>
        </w:rPr>
        <w:t>SPR 98.16W, settlement of claims of minors and incapacitated persons; and</w:t>
      </w:r>
    </w:p>
    <w:p w:rsidR="001E39CF" w:rsidRPr="00DE0563" w:rsidRDefault="00967C5A" w:rsidP="001E39CF">
      <w:pPr>
        <w:ind w:left="1440"/>
        <w:rPr>
          <w:rFonts w:eastAsia="Calibri"/>
          <w:sz w:val="24"/>
          <w:szCs w:val="24"/>
          <w:u w:val="single"/>
        </w:rPr>
      </w:pPr>
      <w:r>
        <w:rPr>
          <w:rFonts w:eastAsia="Calibri"/>
          <w:sz w:val="24"/>
          <w:szCs w:val="24"/>
          <w:u w:val="single"/>
        </w:rPr>
        <w:t xml:space="preserve">Ch. </w:t>
      </w:r>
      <w:r w:rsidRPr="00DE0563">
        <w:rPr>
          <w:rFonts w:eastAsia="Calibri"/>
          <w:sz w:val="24"/>
          <w:szCs w:val="24"/>
          <w:u w:val="single"/>
        </w:rPr>
        <w:t>246-100</w:t>
      </w:r>
      <w:r>
        <w:rPr>
          <w:rFonts w:eastAsia="Calibri"/>
          <w:sz w:val="24"/>
          <w:szCs w:val="24"/>
          <w:u w:val="single"/>
        </w:rPr>
        <w:t xml:space="preserve"> </w:t>
      </w:r>
      <w:r w:rsidR="001E39CF" w:rsidRPr="00DE0563">
        <w:rPr>
          <w:rFonts w:eastAsia="Calibri"/>
          <w:sz w:val="24"/>
          <w:szCs w:val="24"/>
          <w:u w:val="single"/>
        </w:rPr>
        <w:t>WAC, isolation and quarantine.</w:t>
      </w:r>
    </w:p>
    <w:p w:rsidR="001E39CF" w:rsidRPr="004A64E5" w:rsidRDefault="001E39CF" w:rsidP="001E39CF">
      <w:pPr>
        <w:ind w:firstLine="720"/>
        <w:rPr>
          <w:rFonts w:eastAsia="Calibri"/>
          <w:sz w:val="24"/>
          <w:szCs w:val="24"/>
          <w:u w:val="single"/>
        </w:rPr>
      </w:pPr>
      <w:r w:rsidRPr="00FE39D1">
        <w:rPr>
          <w:rFonts w:eastAsia="Calibri"/>
          <w:b/>
          <w:sz w:val="24"/>
          <w:szCs w:val="24"/>
          <w:u w:val="single"/>
        </w:rPr>
        <w:t>(f)</w:t>
      </w:r>
      <w:r w:rsidRPr="00FE39D1">
        <w:rPr>
          <w:rFonts w:eastAsia="Calibri"/>
          <w:b/>
          <w:sz w:val="24"/>
          <w:szCs w:val="24"/>
          <w:u w:val="single"/>
        </w:rPr>
        <w:tab/>
        <w:t>Other Exemptions</w:t>
      </w:r>
      <w:r w:rsidRPr="00F71247">
        <w:rPr>
          <w:rFonts w:eastAsia="Calibri"/>
          <w:b/>
          <w:sz w:val="24"/>
          <w:szCs w:val="24"/>
          <w:u w:val="single"/>
        </w:rPr>
        <w:t>.</w:t>
      </w:r>
      <w:r>
        <w:rPr>
          <w:rFonts w:eastAsia="Calibri"/>
          <w:sz w:val="24"/>
          <w:szCs w:val="24"/>
          <w:u w:val="single"/>
        </w:rPr>
        <w:t xml:space="preserve">  </w:t>
      </w:r>
      <w:r w:rsidRPr="004A64E5">
        <w:rPr>
          <w:rFonts w:eastAsia="Calibri"/>
          <w:sz w:val="24"/>
          <w:szCs w:val="24"/>
          <w:u w:val="single"/>
        </w:rPr>
        <w:t>In addition to the types of actions identified in subsection (e), the court may, on a party’s motion or on its own initiative, exempt any action or type of action for which compliance with th</w:t>
      </w:r>
      <w:bookmarkStart w:id="1" w:name="_GoBack"/>
      <w:bookmarkEnd w:id="1"/>
      <w:r w:rsidRPr="004A64E5">
        <w:rPr>
          <w:rFonts w:eastAsia="Calibri"/>
          <w:sz w:val="24"/>
          <w:szCs w:val="24"/>
          <w:u w:val="single"/>
        </w:rPr>
        <w:t>is rule is impracticable.</w:t>
      </w:r>
    </w:p>
    <w:p w:rsidR="001E39CF" w:rsidRPr="004A64E5" w:rsidRDefault="001E39CF" w:rsidP="001E39CF">
      <w:pPr>
        <w:ind w:firstLine="720"/>
        <w:rPr>
          <w:sz w:val="24"/>
          <w:szCs w:val="24"/>
          <w:u w:val="single"/>
        </w:rPr>
      </w:pPr>
      <w:r w:rsidRPr="00FE39D1">
        <w:rPr>
          <w:rFonts w:eastAsia="Calibri"/>
          <w:b/>
          <w:sz w:val="24"/>
          <w:szCs w:val="24"/>
          <w:u w:val="single"/>
        </w:rPr>
        <w:lastRenderedPageBreak/>
        <w:t>(g)</w:t>
      </w:r>
      <w:r w:rsidRPr="00FE39D1">
        <w:rPr>
          <w:rFonts w:eastAsia="Calibri"/>
          <w:b/>
          <w:sz w:val="24"/>
          <w:szCs w:val="24"/>
          <w:u w:val="single"/>
        </w:rPr>
        <w:tab/>
      </w:r>
      <w:r>
        <w:rPr>
          <w:rFonts w:eastAsia="Calibri"/>
          <w:b/>
          <w:sz w:val="24"/>
          <w:szCs w:val="24"/>
          <w:u w:val="single"/>
        </w:rPr>
        <w:t xml:space="preserve">Timeliness of Discovery Responses.  </w:t>
      </w:r>
      <w:r w:rsidRPr="004A64E5">
        <w:rPr>
          <w:rFonts w:eastAsia="Calibri"/>
          <w:sz w:val="24"/>
          <w:szCs w:val="24"/>
          <w:u w:val="single"/>
        </w:rPr>
        <w:t>Imposition of a case schedule deadline does not excuse a party’s obligation to timely respond to discovery propounded under these Rules.  Parties shall not respond to discovery requests indicating a response will be provided by the case schedule deadline.</w:t>
      </w:r>
    </w:p>
    <w:p w:rsidR="003D55FB" w:rsidRDefault="003D55FB"/>
    <w:sectPr w:rsidR="003D5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CF"/>
    <w:rsid w:val="00047D2B"/>
    <w:rsid w:val="001E39CF"/>
    <w:rsid w:val="00213BF8"/>
    <w:rsid w:val="003448B7"/>
    <w:rsid w:val="003D55FB"/>
    <w:rsid w:val="008D2007"/>
    <w:rsid w:val="00967C5A"/>
    <w:rsid w:val="00BD4E3A"/>
    <w:rsid w:val="00F7008B"/>
    <w:rsid w:val="00F7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B7F9-8163-43F4-8F1F-2C38B76F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CF"/>
    <w:pPr>
      <w:spacing w:after="0" w:line="489"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9C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7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719</Words>
  <Characters>4102</Characters>
  <Application>Microsoft Office Word</Application>
  <DocSecurity>0</DocSecurity>
  <Lines>34</Lines>
  <Paragraphs>9</Paragraphs>
  <ScaleCrop>false</ScaleCrop>
  <Company>Administrative Office of the Courts</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8</cp:revision>
  <dcterms:created xsi:type="dcterms:W3CDTF">2022-01-12T21:46:00Z</dcterms:created>
  <dcterms:modified xsi:type="dcterms:W3CDTF">2022-01-12T22:43:00Z</dcterms:modified>
</cp:coreProperties>
</file>